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color w:val="30617b"/>
          <w:sz w:val="48"/>
          <w:szCs w:val="48"/>
        </w:rPr>
      </w:pPr>
      <w:bookmarkStart w:colFirst="0" w:colLast="0" w:name="_dfy15idx0lk0" w:id="0"/>
      <w:bookmarkEnd w:id="0"/>
      <w:r w:rsidDel="00000000" w:rsidR="00000000" w:rsidRPr="00000000">
        <w:rPr>
          <w:color w:val="30617b"/>
          <w:sz w:val="48"/>
          <w:szCs w:val="48"/>
          <w:rtl w:val="0"/>
        </w:rPr>
        <w:t xml:space="preserve">Construction Business Startup Cost Checklist (2026)</w:t>
      </w:r>
    </w:p>
    <w:p w:rsidR="00000000" w:rsidDel="00000000" w:rsidP="00000000" w:rsidRDefault="00000000" w:rsidRPr="00000000" w14:paraId="00000002">
      <w:pPr>
        <w:pStyle w:val="Heading3"/>
        <w:rPr>
          <w:color w:val="30617b"/>
        </w:rPr>
      </w:pPr>
      <w:bookmarkStart w:colFirst="0" w:colLast="0" w:name="_i42egbd4dlz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rPr>
          <w:color w:val="ff8300"/>
        </w:rPr>
      </w:pPr>
      <w:bookmarkStart w:colFirst="0" w:colLast="0" w:name="_2ukk7ydovqnx" w:id="2"/>
      <w:bookmarkEnd w:id="2"/>
      <w:r w:rsidDel="00000000" w:rsidR="00000000" w:rsidRPr="00000000">
        <w:rPr>
          <w:color w:val="ff8300"/>
          <w:rtl w:val="0"/>
        </w:rPr>
        <w:t xml:space="preserve">Licensing, Permits &amp; Incorporation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line="360" w:lineRule="auto"/>
        <w:ind w:left="720" w:hanging="360"/>
      </w:pPr>
      <w:r w:rsidDel="00000000" w:rsidR="00000000" w:rsidRPr="00000000">
        <w:rPr>
          <w:rtl w:val="0"/>
        </w:rPr>
        <w:t xml:space="preserve">Business registration and incorporation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line="360" w:lineRule="auto"/>
        <w:ind w:left="720" w:hanging="360"/>
      </w:pPr>
      <w:r w:rsidDel="00000000" w:rsidR="00000000" w:rsidRPr="00000000">
        <w:rPr>
          <w:rtl w:val="0"/>
        </w:rPr>
        <w:t xml:space="preserve">Contractor licensing and examinations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line="360" w:lineRule="auto"/>
        <w:ind w:left="720" w:hanging="360"/>
      </w:pPr>
      <w:r w:rsidDel="00000000" w:rsidR="00000000" w:rsidRPr="00000000">
        <w:rPr>
          <w:rtl w:val="0"/>
        </w:rPr>
        <w:t xml:space="preserve">Local business permits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line="360" w:lineRule="auto"/>
        <w:ind w:left="720" w:hanging="360"/>
      </w:pPr>
      <w:r w:rsidDel="00000000" w:rsidR="00000000" w:rsidRPr="00000000">
        <w:rPr>
          <w:rtl w:val="0"/>
        </w:rPr>
        <w:t xml:space="preserve">Trade-specific licenses or certifications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line="360" w:lineRule="auto"/>
        <w:ind w:left="720" w:hanging="360"/>
      </w:pPr>
      <w:r w:rsidDel="00000000" w:rsidR="00000000" w:rsidRPr="00000000">
        <w:rPr>
          <w:rtl w:val="0"/>
        </w:rPr>
        <w:t xml:space="preserve">Surety bonds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line="360" w:lineRule="auto"/>
        <w:ind w:left="720" w:hanging="360"/>
      </w:pPr>
      <w:r w:rsidDel="00000000" w:rsidR="00000000" w:rsidRPr="00000000">
        <w:rPr>
          <w:rtl w:val="0"/>
        </w:rPr>
        <w:t xml:space="preserve">Legal and accounting setup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License renewals and compliance fees</w:t>
      </w:r>
    </w:p>
    <w:p w:rsidR="00000000" w:rsidDel="00000000" w:rsidP="00000000" w:rsidRDefault="00000000" w:rsidRPr="00000000" w14:paraId="0000000B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3"/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0" w:right="0" w:firstLine="0"/>
        <w:jc w:val="left"/>
        <w:rPr>
          <w:color w:val="ff8300"/>
          <w:sz w:val="28"/>
          <w:szCs w:val="28"/>
        </w:rPr>
      </w:pPr>
      <w:bookmarkStart w:colFirst="0" w:colLast="0" w:name="_cn7usm84gak9" w:id="3"/>
      <w:bookmarkEnd w:id="3"/>
      <w:r w:rsidDel="00000000" w:rsidR="00000000" w:rsidRPr="00000000">
        <w:rPr>
          <w:color w:val="ff8300"/>
          <w:sz w:val="28"/>
          <w:szCs w:val="28"/>
          <w:rtl w:val="0"/>
        </w:rPr>
        <w:t xml:space="preserve">Insurance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General liability insurance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Workers' compensation insurance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Commercial auto insurance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Builder's risk insurance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Tool and equipment coverage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Umbrella liability insurance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Bond premiums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3"/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0" w:right="0" w:firstLine="0"/>
        <w:jc w:val="left"/>
        <w:rPr>
          <w:color w:val="ff8300"/>
          <w:sz w:val="28"/>
          <w:szCs w:val="28"/>
        </w:rPr>
      </w:pPr>
      <w:bookmarkStart w:colFirst="0" w:colLast="0" w:name="_k9t9h2lpv7k6" w:id="4"/>
      <w:bookmarkEnd w:id="4"/>
      <w:r w:rsidDel="00000000" w:rsidR="00000000" w:rsidRPr="00000000">
        <w:rPr>
          <w:color w:val="ff8300"/>
          <w:sz w:val="28"/>
          <w:szCs w:val="28"/>
          <w:rtl w:val="0"/>
        </w:rPr>
        <w:t xml:space="preserve">Marketing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Website development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Branding and logo design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Business cards and marketing materials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Vehicle and jobsite signage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Digital advertising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Local sponsorships and networking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Lead generation and directory listings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3"/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0" w:right="0" w:firstLine="0"/>
        <w:jc w:val="left"/>
        <w:rPr>
          <w:color w:val="ff8300"/>
          <w:sz w:val="28"/>
          <w:szCs w:val="28"/>
        </w:rPr>
      </w:pPr>
      <w:bookmarkStart w:colFirst="0" w:colLast="0" w:name="_212qxcry6cht" w:id="5"/>
      <w:bookmarkEnd w:id="5"/>
      <w:r w:rsidDel="00000000" w:rsidR="00000000" w:rsidRPr="00000000">
        <w:rPr>
          <w:color w:val="ff8300"/>
          <w:sz w:val="28"/>
          <w:szCs w:val="28"/>
          <w:rtl w:val="0"/>
        </w:rPr>
        <w:t xml:space="preserve">Back Office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Estimating and project management software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Accounting and bookkeeping systems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Payroll services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Office equipment and supplies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Internet and phone services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Professional memberships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Administrative support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3"/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0" w:right="0" w:firstLine="0"/>
        <w:jc w:val="left"/>
        <w:rPr>
          <w:color w:val="ff8300"/>
          <w:sz w:val="28"/>
          <w:szCs w:val="28"/>
        </w:rPr>
      </w:pPr>
      <w:bookmarkStart w:colFirst="0" w:colLast="0" w:name="_y1vwlat4wpc3" w:id="6"/>
      <w:bookmarkEnd w:id="6"/>
      <w:r w:rsidDel="00000000" w:rsidR="00000000" w:rsidRPr="00000000">
        <w:rPr>
          <w:color w:val="ff8300"/>
          <w:sz w:val="28"/>
          <w:szCs w:val="28"/>
          <w:rtl w:val="0"/>
        </w:rPr>
        <w:t xml:space="preserve">Equipment, Tools &amp; Trucks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Service vehicles and trailers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Hand and power tools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Trade-specific equipment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Safety gear and PPE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Fuel and maintenance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Equipment rentals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Initial material inventory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3"/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0" w:right="0" w:firstLine="0"/>
        <w:jc w:val="left"/>
        <w:rPr>
          <w:color w:val="ff8300"/>
          <w:sz w:val="28"/>
          <w:szCs w:val="28"/>
        </w:rPr>
      </w:pPr>
      <w:bookmarkStart w:colFirst="0" w:colLast="0" w:name="_tiw44cumdc9d" w:id="7"/>
      <w:bookmarkEnd w:id="7"/>
      <w:r w:rsidDel="00000000" w:rsidR="00000000" w:rsidRPr="00000000">
        <w:rPr>
          <w:color w:val="ff8300"/>
          <w:sz w:val="28"/>
          <w:szCs w:val="28"/>
          <w:rtl w:val="0"/>
        </w:rPr>
        <w:t xml:space="preserve">Field Labor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Employee wages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Payroll taxes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Benefits and insurance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Recruitment and onboarding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Safety and skills training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Uniforms and branded apparel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Subcontractor costs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3"/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0" w:right="0" w:firstLine="0"/>
        <w:jc w:val="left"/>
        <w:rPr>
          <w:color w:val="ff8300"/>
          <w:sz w:val="28"/>
          <w:szCs w:val="28"/>
        </w:rPr>
      </w:pPr>
      <w:bookmarkStart w:colFirst="0" w:colLast="0" w:name="_jznus0jnx8qg" w:id="8"/>
      <w:bookmarkEnd w:id="8"/>
      <w:r w:rsidDel="00000000" w:rsidR="00000000" w:rsidRPr="00000000">
        <w:rPr>
          <w:color w:val="ff8300"/>
          <w:sz w:val="28"/>
          <w:szCs w:val="28"/>
          <w:rtl w:val="0"/>
        </w:rPr>
        <w:t xml:space="preserve">Working Capital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Payroll reserve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Material purchasing reserve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Cash flow buffer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Emergency repairs and replacements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Project delays and unexpected costs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Seasonal slowdowns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360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Client payment delays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360" w:lineRule="auto"/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5840" w:w="12240" w:orient="portrait"/>
      <w:pgMar w:bottom="1008" w:top="1008" w:left="1008" w:right="100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Slab SemiBold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rPr>
        <w:color w:val="666666"/>
        <w:sz w:val="20"/>
        <w:szCs w:val="20"/>
      </w:rPr>
    </w:pPr>
    <w:r w:rsidDel="00000000" w:rsidR="00000000" w:rsidRPr="00000000">
      <w:rPr/>
      <w:drawing>
        <wp:inline distB="114300" distT="114300" distL="114300" distR="114300">
          <wp:extent cx="972799" cy="1905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72799" cy="1905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</w:t>
      <w:tab/>
      <w:tab/>
      <w:tab/>
      <w:tab/>
      <w:tab/>
      <w:tab/>
      <w:tab/>
      <w:tab/>
      <w:tab/>
      <w:tab/>
      <w:tab/>
      <w:tab/>
    </w:r>
    <w:r w:rsidDel="00000000" w:rsidR="00000000" w:rsidRPr="00000000">
      <w:rPr>
        <w:color w:val="666666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rPr/>
    </w:pPr>
    <w:r w:rsidDel="00000000" w:rsidR="00000000" w:rsidRPr="00000000">
      <w:rPr/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page">
                <wp:posOffset>-85724</wp:posOffset>
              </wp:positionH>
              <wp:positionV relativeFrom="page">
                <wp:posOffset>-123824</wp:posOffset>
              </wp:positionV>
              <wp:extent cx="7943850" cy="190500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943850" cy="190500"/>
                        <a:chOff x="0" y="0"/>
                        <a:chExt cx="12192000" cy="172200"/>
                      </a:xfrm>
                    </wpg:grpSpPr>
                    <wps:wsp>
                      <wps:cNvSpPr/>
                      <wps:cNvPr id="2" name="Shape 2"/>
                      <wps:spPr>
                        <a:xfrm>
                          <a:off x="8289300" y="0"/>
                          <a:ext cx="3902700" cy="172200"/>
                        </a:xfrm>
                        <a:prstGeom prst="rect">
                          <a:avLst/>
                        </a:prstGeom>
                        <a:solidFill>
                          <a:srgbClr val="30617B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  <wps:wsp>
                      <wps:cNvSpPr/>
                      <wps:cNvPr id="3" name="Shape 3"/>
                      <wps:spPr>
                        <a:xfrm>
                          <a:off x="0" y="0"/>
                          <a:ext cx="8289300" cy="172200"/>
                        </a:xfrm>
                        <a:prstGeom prst="rect">
                          <a:avLst/>
                        </a:prstGeom>
                        <a:solidFill>
                          <a:srgbClr val="FF820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page">
                <wp:posOffset>-85724</wp:posOffset>
              </wp:positionH>
              <wp:positionV relativeFrom="page">
                <wp:posOffset>-123824</wp:posOffset>
              </wp:positionV>
              <wp:extent cx="7943850" cy="1905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43850" cy="190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2"/>
        <w:szCs w:val="22"/>
        <w:lang w:val="en"/>
      </w:rPr>
    </w:rPrDefault>
    <w:pPrDefault>
      <w:pPr>
        <w:spacing w:after="6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60" w:lineRule="auto"/>
    </w:pPr>
    <w:rPr>
      <w:rFonts w:ascii="Roboto Slab SemiBold" w:cs="Roboto Slab SemiBold" w:eastAsia="Roboto Slab SemiBold" w:hAnsi="Roboto Slab SemiBold"/>
      <w:sz w:val="52"/>
      <w:szCs w:val="52"/>
    </w:rPr>
  </w:style>
  <w:style w:type="paragraph" w:styleId="Heading2">
    <w:name w:val="heading 2"/>
    <w:basedOn w:val="Normal"/>
    <w:next w:val="Normal"/>
    <w:pPr>
      <w:keepNext w:val="1"/>
      <w:keepLines w:val="1"/>
      <w:spacing w:after="60" w:lineRule="auto"/>
    </w:pPr>
    <w:rPr>
      <w:rFonts w:ascii="Roboto Slab SemiBold" w:cs="Roboto Slab SemiBold" w:eastAsia="Roboto Slab SemiBold" w:hAnsi="Roboto Slab SemiBold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60" w:lineRule="auto"/>
    </w:pPr>
    <w:rPr>
      <w:rFonts w:ascii="Roboto Slab SemiBold" w:cs="Roboto Slab SemiBold" w:eastAsia="Roboto Slab SemiBold" w:hAnsi="Roboto Slab SemiBold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RobotoSlabSemiBold-regular.ttf"/><Relationship Id="rId6" Type="http://schemas.openxmlformats.org/officeDocument/2006/relationships/font" Target="fonts/RobotoSlabSemiBold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